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EAC3" w14:textId="77777777" w:rsidR="00C7735C" w:rsidRDefault="00C7735C" w:rsidP="00C7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122EA" w14:textId="77777777" w:rsidR="00C7735C" w:rsidRDefault="00C7735C" w:rsidP="00C77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ANEXA 30 A</w:t>
      </w:r>
    </w:p>
    <w:p w14:paraId="39755050" w14:textId="77777777" w:rsidR="00C7735C" w:rsidRDefault="00C7735C" w:rsidP="00C773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A. PACHET DE SERVICII MEDICALE DE BAZĂ PENTRU ÎNGRIJIRI MEDICALE LA DOMICILIU</w:t>
      </w:r>
    </w:p>
    <w:p w14:paraId="6496D6B7" w14:textId="77777777" w:rsidR="00C7735C" w:rsidRDefault="00C7735C" w:rsidP="00C77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9"/>
        <w:gridCol w:w="9416"/>
      </w:tblGrid>
      <w:tr w:rsidR="00C7735C" w14:paraId="57180A95" w14:textId="77777777" w:rsidTr="00C7735C">
        <w:trPr>
          <w:trHeight w:val="4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1987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0ADC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Serviciul de îngrijire medicală la domiciliu          </w:t>
            </w:r>
          </w:p>
          <w:p w14:paraId="0D858A51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C7735C" w14:paraId="34B1FF5F" w14:textId="77777777" w:rsidTr="00C7735C">
        <w:trPr>
          <w:trHeight w:val="10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E911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2371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Măsurarea parametrilor fiziologici: temperatură, respiraţie, puls, TA, diureză şi scaun;                            </w:t>
            </w:r>
          </w:p>
          <w:p w14:paraId="48D87FF7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recomandarea serviciului se face de către medici pentru toţi parametrii prevăzuţi, respectiv: temperatură, respiraţie, puls, TA, diureză şi scaun           </w:t>
            </w:r>
          </w:p>
        </w:tc>
      </w:tr>
      <w:tr w:rsidR="00C7735C" w14:paraId="09AA4B36" w14:textId="77777777" w:rsidTr="00C7735C">
        <w:trPr>
          <w:trHeight w:val="14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B4C8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2B43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Administrarea medicamentelor:                                 </w:t>
            </w:r>
          </w:p>
        </w:tc>
      </w:tr>
      <w:tr w:rsidR="00C7735C" w14:paraId="67ABD051" w14:textId="77777777" w:rsidTr="00C7735C">
        <w:trPr>
          <w:trHeight w:val="14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0DFD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9CA9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2.1. intramuscular - în afara injecţiilor cu produse de origine umană                                       </w:t>
            </w:r>
          </w:p>
        </w:tc>
      </w:tr>
      <w:tr w:rsidR="00C7735C" w14:paraId="723A11A4" w14:textId="77777777" w:rsidTr="00C7735C">
        <w:trPr>
          <w:trHeight w:val="14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93DC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2FFF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2.2. subcutanat - în afara injecţiilor cu produse de origine umană                                                                 </w:t>
            </w:r>
          </w:p>
        </w:tc>
      </w:tr>
      <w:tr w:rsidR="00C7735C" w14:paraId="61A2ACB9" w14:textId="77777777" w:rsidTr="00C7735C">
        <w:trPr>
          <w:trHeight w:val="14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AFC6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07AF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2.3. intradermic  - în afara injecţiilor cu produse de origine  umană</w:t>
            </w:r>
          </w:p>
        </w:tc>
      </w:tr>
      <w:tr w:rsidR="00C7735C" w14:paraId="496AFA66" w14:textId="77777777" w:rsidTr="00C7735C">
        <w:trPr>
          <w:trHeight w:val="14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217B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3138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2.4. oral                                                     </w:t>
            </w:r>
          </w:p>
        </w:tc>
      </w:tr>
      <w:tr w:rsidR="00C7735C" w14:paraId="6EF7FE19" w14:textId="77777777" w:rsidTr="00C7735C">
        <w:trPr>
          <w:trHeight w:val="14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F8B8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6044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pe mucoase                                               </w:t>
            </w:r>
          </w:p>
        </w:tc>
      </w:tr>
      <w:tr w:rsidR="00C7735C" w14:paraId="61A30D1B" w14:textId="77777777" w:rsidTr="00C7735C">
        <w:trPr>
          <w:trHeight w:val="4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E66A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488D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Administrarea medicamentelor intravenos - în afara injecţiilor şi perfuziilor cu produse de origine umană, cu respectarea  legislaţiei în vigoare           </w:t>
            </w:r>
          </w:p>
        </w:tc>
      </w:tr>
      <w:tr w:rsidR="00C7735C" w14:paraId="4D88DFA5" w14:textId="77777777" w:rsidTr="00C7735C">
        <w:trPr>
          <w:trHeight w:val="10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B460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B279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Sondaj vezical, îngrijirea sondei urinare şi administrarea medicamentelor intravezical pe sondă vezicală, la bărbaţi se efectuează de către medicul care îşi desfăşoară activitatea într-o formă legală la furnizorul de îngrijiri medicale la domiciliu</w:t>
            </w:r>
          </w:p>
          <w:p w14:paraId="11999F81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implică obligatoriu toaleta locală genitală şi schimbarea sondei fixe la 6 zile                               </w:t>
            </w:r>
          </w:p>
        </w:tc>
      </w:tr>
      <w:tr w:rsidR="00C7735C" w14:paraId="6333133F" w14:textId="77777777" w:rsidTr="00C7735C">
        <w:trPr>
          <w:trHeight w:val="8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973C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878D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Administrarea medicamentelor prin perfuzie endovenoasă, cu  respectarea legislaţiei în vigoare, în afara perfuziilor cu produse de origine umană.       </w:t>
            </w:r>
          </w:p>
        </w:tc>
      </w:tr>
      <w:tr w:rsidR="00C7735C" w14:paraId="268FFD9A" w14:textId="77777777" w:rsidTr="00C7735C">
        <w:trPr>
          <w:trHeight w:val="4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4EB9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EC32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Alimentarea artificială pe gastrostomă/sondăgastrică/nazogastrică şi educarea asiguratului/aparţinătorilor                         </w:t>
            </w:r>
          </w:p>
        </w:tc>
      </w:tr>
      <w:tr w:rsidR="00C7735C" w14:paraId="554FBB24" w14:textId="77777777" w:rsidTr="00C7735C">
        <w:trPr>
          <w:trHeight w:val="4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C2B3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515A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Alimentarea pasivă, pentru bolnavii cu tulburări de deglutiţie, inclusiv instruirea asiguratului/aparţinătorului  </w:t>
            </w:r>
          </w:p>
        </w:tc>
      </w:tr>
      <w:tr w:rsidR="00C7735C" w14:paraId="7606FEA3" w14:textId="77777777" w:rsidTr="00C7735C">
        <w:trPr>
          <w:trHeight w:val="1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3EEC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E4B1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Clismă cu scop evacuator /terapeutic                                    </w:t>
            </w:r>
          </w:p>
        </w:tc>
      </w:tr>
      <w:tr w:rsidR="00C7735C" w14:paraId="3BE1AF87" w14:textId="77777777" w:rsidTr="00C7735C">
        <w:trPr>
          <w:trHeight w:val="1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B718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BB34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Spălătură vaginală în cazuri de deficit motor                 </w:t>
            </w:r>
          </w:p>
        </w:tc>
      </w:tr>
      <w:tr w:rsidR="00C7735C" w14:paraId="0BB8717B" w14:textId="77777777" w:rsidTr="00C7735C">
        <w:trPr>
          <w:trHeight w:val="8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AEA0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0F23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Manevre terapeutice pentru evitarea complicaţiilor vasculare ale membrelor inferioare/escarelor de decubit: mobilizare, masaj, aplicaţii medicamentoase, utilizarea colacilor de cauciuc şi a rulourilor                                       </w:t>
            </w:r>
          </w:p>
        </w:tc>
      </w:tr>
      <w:tr w:rsidR="00C7735C" w14:paraId="783F9B37" w14:textId="77777777" w:rsidTr="00C7735C">
        <w:trPr>
          <w:trHeight w:val="4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4543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036A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Manevre terapeutice pentru evitarea complicaţiilor pulmonare: </w:t>
            </w:r>
          </w:p>
          <w:p w14:paraId="701BDECF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posturi de drenaj bronşic, tapotaj, fizioterapie respiratorie</w:t>
            </w:r>
          </w:p>
        </w:tc>
      </w:tr>
      <w:tr w:rsidR="00C7735C" w14:paraId="2D1EAA94" w14:textId="77777777" w:rsidTr="00C7735C">
        <w:trPr>
          <w:trHeight w:val="2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7C1A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B34F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plăgilor simple şi/sau suprainfectate/suprimarea firelor      </w:t>
            </w:r>
          </w:p>
        </w:tc>
      </w:tr>
      <w:tr w:rsidR="00C7735C" w14:paraId="3B566E38" w14:textId="77777777" w:rsidTr="00C7735C">
        <w:trPr>
          <w:trHeight w:val="1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B12E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FB25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escarelor multiple                                 </w:t>
            </w:r>
          </w:p>
        </w:tc>
      </w:tr>
      <w:tr w:rsidR="00C7735C" w14:paraId="2E9F3A14" w14:textId="77777777" w:rsidTr="00C7735C">
        <w:trPr>
          <w:trHeight w:val="1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2186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00F4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stomelor                                           </w:t>
            </w:r>
          </w:p>
        </w:tc>
      </w:tr>
      <w:tr w:rsidR="00C7735C" w14:paraId="7F490503" w14:textId="77777777" w:rsidTr="00C7735C">
        <w:trPr>
          <w:trHeight w:val="1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D5E7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C115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fistulelor                                         </w:t>
            </w:r>
          </w:p>
        </w:tc>
      </w:tr>
      <w:tr w:rsidR="00C7735C" w14:paraId="7F755A58" w14:textId="77777777" w:rsidTr="00C7735C">
        <w:trPr>
          <w:trHeight w:val="1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41BF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0765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tubului de dren şi instruirea asiguratului         </w:t>
            </w:r>
          </w:p>
        </w:tc>
      </w:tr>
      <w:tr w:rsidR="00C7735C" w14:paraId="7924AF48" w14:textId="77777777" w:rsidTr="00C7735C">
        <w:trPr>
          <w:trHeight w:val="1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EC10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0997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canulei traheale şi instruirea asiguratului        </w:t>
            </w:r>
          </w:p>
        </w:tc>
      </w:tr>
      <w:tr w:rsidR="00C7735C" w14:paraId="6F184D8A" w14:textId="77777777" w:rsidTr="00C7735C">
        <w:trPr>
          <w:trHeight w:val="8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5DA9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E3A7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Aplicarea de ploscă, bazinet, condom urinar, mijloc ajutător pentru absorbţia urinei; este inclus şi mijlocul ajutător pentru absorbţia urinei, minim 2 mijloace ajutătoare pentru absorbţia urinei/zi.       </w:t>
            </w:r>
          </w:p>
        </w:tc>
      </w:tr>
      <w:tr w:rsidR="00C7735C" w14:paraId="7C5F93A4" w14:textId="77777777" w:rsidTr="00C7735C">
        <w:trPr>
          <w:trHeight w:val="142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991A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3890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Alimentaţie parenterală - alimentaţie artificială pe cateter venos central sau periferic se acordă de către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furnizori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tip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787B60C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Serviciul nu include alimentele specifice.    </w:t>
            </w:r>
          </w:p>
        </w:tc>
      </w:tr>
      <w:tr w:rsidR="00C7735C" w14:paraId="2FC28DF4" w14:textId="77777777" w:rsidTr="00C7735C">
        <w:trPr>
          <w:trHeight w:val="94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FE00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6EA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Kinetoterapie individuală                        </w:t>
            </w:r>
          </w:p>
          <w:p w14:paraId="5637A505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efectuează doar de fizioterapeutul care îşi desfăşoară activitatea într-o formă legală la furnizorul de îngrijiri medicale la domiciliu                 </w:t>
            </w:r>
          </w:p>
        </w:tc>
      </w:tr>
      <w:tr w:rsidR="00C7735C" w14:paraId="4A0D327E" w14:textId="77777777" w:rsidTr="00C7735C">
        <w:trPr>
          <w:trHeight w:val="94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9B03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5F9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Logopedie individuală                       </w:t>
            </w:r>
          </w:p>
          <w:p w14:paraId="7AE2F9CD" w14:textId="77777777" w:rsidR="00C7735C" w:rsidRDefault="00C7735C" w:rsidP="00D55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efectuează doar de logopedul, care îşi desfăşoară activitatea într-o formă legală la furnizorul de îngrijiri medicale la domiciliu </w:t>
            </w:r>
          </w:p>
          <w:p w14:paraId="70961E16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5C" w14:paraId="1161D4F1" w14:textId="77777777" w:rsidTr="00C7735C">
        <w:trPr>
          <w:trHeight w:val="94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F964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6790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Masajul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limfedemului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A53F16E" w14:textId="77777777" w:rsidR="00C7735C" w:rsidRDefault="00C7735C" w:rsidP="00D55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efectuează doar de fizioterapeutul care îşi desfăşoară activitatea într-o formă legală la furnizorul de îngrijiri medicale la domiciliu și atestă pregătirea profesională în drenaj limfatic manual</w:t>
            </w:r>
          </w:p>
        </w:tc>
      </w:tr>
      <w:tr w:rsidR="00C7735C" w14:paraId="4F17DC17" w14:textId="77777777" w:rsidTr="00C7735C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DC11" w14:textId="77777777" w:rsidR="00C7735C" w:rsidRDefault="00C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730F" w14:textId="77777777" w:rsidR="00C7735C" w:rsidRDefault="00C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Evaluarea manuală a fecaloamelor</w:t>
            </w:r>
          </w:p>
        </w:tc>
      </w:tr>
      <w:tr w:rsidR="00C7735C" w14:paraId="252AE1B1" w14:textId="77777777" w:rsidTr="00C7735C">
        <w:trPr>
          <w:trHeight w:val="1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4FCC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1F19" w14:textId="77777777" w:rsidR="00C7735C" w:rsidRDefault="00C7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Recoltarea produselor biologice, cu respectarea Normelor tehnice privind gestionarea deşeurilor rezultate din activităţi medicale şi a Metodologiei de culegere a datelor pentru baza naţională de date privind deşeurile rezultate din activităţi medicale aprobate prin Ordinul MS nr. 1226/2012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sânge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urină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materii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fecale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</w:p>
        </w:tc>
      </w:tr>
    </w:tbl>
    <w:p w14:paraId="79211472" w14:textId="77777777" w:rsidR="00C7735C" w:rsidRDefault="00C7735C" w:rsidP="00C7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1A4EC1" w14:textId="77777777" w:rsidR="00C7735C" w:rsidRDefault="00C7735C" w:rsidP="00C77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NOTA: Serviciile de îngrijire medicală la domiciliu se acordă în condiţiile stabilite prin anexa nr. 31A la prezentul ordin.</w:t>
      </w:r>
    </w:p>
    <w:p w14:paraId="5D4C06F9" w14:textId="77777777" w:rsidR="00C7735C" w:rsidRDefault="00C7735C" w:rsidP="00C77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8B45586" w14:textId="77777777" w:rsidR="00C7735C" w:rsidRDefault="00C7735C" w:rsidP="00C77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B. PACHETUL DE SERVICII PENTRU PACIENŢII DIN STATELE MEMBRE ALE UNIUNII EUROPENE/SPAŢIULUI ECONOMIC EUROPEAN/CONFEDERAŢIA ELVEŢIANĂ/REGATUL UNIT AL MARII BRITANII ŞI IRLANDEI DE NORD, BENEFICIARI AI FORMULARELOR/DOCUMENTELOR EUROPENE EMISE ÎN BAZA REGULAMENTULUI (CE) NR. 883/2004 AL PARLAMENTULUI EUROPEAN ŞI AL CONSILIULUI DIN 29 APRILIE 2004 PRIVIND COORDONAREA SISTEMELOR DE SECURITATE SOCIALĂ, </w:t>
      </w:r>
      <w:r>
        <w:rPr>
          <w:rFonts w:ascii="Times New Roman" w:hAnsi="Times New Roman" w:cs="Times New Roman"/>
          <w:sz w:val="24"/>
          <w:szCs w:val="24"/>
        </w:rPr>
        <w:t xml:space="preserve">CU MODIFICĂRILE ŞI COMPLETĂRILE ULTERIOARE,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ŞI PENTRU PACIENŢII DIN STATELE CU CARE ROMÂNIA A ÎNCHEIAT ACORDURI, ÎNŢELEGERI, CONVENŢII SAU PROTOCOALE INTERNAŢIONALE CU PREVEDERI ÎN DOMENIUL SĂNĂTĂŢII,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 CU MODIFICĂRILE ŞI COMPLETĂRILE ULTERIOARE</w:t>
      </w:r>
    </w:p>
    <w:p w14:paraId="4941D211" w14:textId="77777777" w:rsidR="00C7735C" w:rsidRDefault="00C7735C" w:rsidP="00C77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 Pacienţii din statele membre ale Uniunii Europene/Spaţiului Economic European/Confederaţia Elveţiană/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Regatul Unit al Marii Britanii şi Irlandei de Nord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beneficiari ai formularelor/documentelor europene emise în baza Regulamentului (CE) nr. 883/2004,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cu modificările şi completările ulterioare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beneficiază de pachetul de servicii medicale de bază pentru îngrijiri medicale la domiciliu prevăzut la lit. A din prezenta anexă.</w:t>
      </w:r>
    </w:p>
    <w:p w14:paraId="7D24AE96" w14:textId="77777777" w:rsidR="00C7735C" w:rsidRDefault="00C7735C" w:rsidP="00C77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 Pacienţii din statele cu care România a încheiat acorduri, înţelegeri, convenţii sau protocoale internaţionale cu prevederi în domeniul sănătăţii, beneficiază de pachetul de servicii medicale de bază pentru îngrijiri medicale la domiciliu, prevăzut la lit. A din prezenta anexă, în condiţiile stabilite de respectivele documente internaţionale.</w:t>
      </w:r>
    </w:p>
    <w:p w14:paraId="034ABD96" w14:textId="77777777" w:rsidR="00C7735C" w:rsidRDefault="00C7735C" w:rsidP="00C77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081CF6" w14:textId="77777777" w:rsidR="008457CC" w:rsidRDefault="008457CC"/>
    <w:sectPr w:rsidR="0084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364F"/>
    <w:multiLevelType w:val="multilevel"/>
    <w:tmpl w:val="55E6DE66"/>
    <w:lvl w:ilvl="0">
      <w:numFmt w:val="bullet"/>
      <w:lvlText w:val="-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 w:cs="Wingdings" w:hint="default"/>
      </w:rPr>
    </w:lvl>
  </w:abstractNum>
  <w:num w:numId="1" w16cid:durableId="11096201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5C"/>
    <w:rsid w:val="008457CC"/>
    <w:rsid w:val="00C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159A"/>
  <w15:chartTrackingRefBased/>
  <w15:docId w15:val="{547605E2-454B-4E5A-A559-EB0FC15A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5C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35C"/>
    <w:pPr>
      <w:ind w:left="720"/>
      <w:contextualSpacing/>
    </w:pPr>
  </w:style>
  <w:style w:type="table" w:styleId="TableGrid">
    <w:name w:val="Table Grid"/>
    <w:basedOn w:val="TableNormal"/>
    <w:uiPriority w:val="59"/>
    <w:rsid w:val="00C7735C"/>
    <w:pPr>
      <w:suppressAutoHyphens/>
      <w:spacing w:after="0" w:line="240" w:lineRule="auto"/>
    </w:pPr>
    <w:rPr>
      <w:rFonts w:eastAsiaTheme="minorEastAsia"/>
      <w:kern w:val="0"/>
      <w:lang w:val="ro-RO" w:eastAsia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Pricopi</dc:creator>
  <cp:keywords/>
  <dc:description/>
  <cp:lastModifiedBy>Gabi Pricopi</cp:lastModifiedBy>
  <cp:revision>1</cp:revision>
  <dcterms:created xsi:type="dcterms:W3CDTF">2023-06-22T06:43:00Z</dcterms:created>
  <dcterms:modified xsi:type="dcterms:W3CDTF">2023-06-22T06:44:00Z</dcterms:modified>
</cp:coreProperties>
</file>